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05F7" w14:textId="77777777" w:rsidR="00CE63FC" w:rsidRPr="00CE63FC" w:rsidRDefault="00CE63FC" w:rsidP="006F35CB">
      <w:pPr>
        <w:pageBreakBefore/>
        <w:ind w:left="360"/>
        <w:contextualSpacing/>
        <w:jc w:val="both"/>
        <w:rPr>
          <w:rFonts w:eastAsia="Calibri"/>
          <w:b/>
          <w:lang w:eastAsia="hr-HR"/>
        </w:rPr>
      </w:pPr>
      <w:bookmarkStart w:id="0" w:name="_Toc242247933"/>
      <w:bookmarkStart w:id="1" w:name="OLE_LINK1"/>
      <w:bookmarkStart w:id="2" w:name="_Hlk4596292"/>
      <w:r w:rsidRPr="006F35CB">
        <w:rPr>
          <w:rFonts w:eastAsia="Calibri"/>
          <w:b/>
          <w:lang w:eastAsia="hr-HR"/>
        </w:rPr>
        <w:t>Prilog 1.   Opis predmeta nabave</w:t>
      </w:r>
    </w:p>
    <w:p w14:paraId="75C9B7B5" w14:textId="77777777" w:rsidR="00CE63FC" w:rsidRPr="00CE63FC" w:rsidRDefault="00CE63FC" w:rsidP="006F35CB">
      <w:pPr>
        <w:jc w:val="both"/>
        <w:rPr>
          <w:rFonts w:eastAsia="Calibri"/>
          <w:b/>
          <w:lang w:eastAsia="hr-HR"/>
        </w:rPr>
      </w:pPr>
    </w:p>
    <w:p w14:paraId="5D8FBE1D" w14:textId="77777777" w:rsidR="00CE63FC" w:rsidRPr="00CE63FC" w:rsidRDefault="00CE63FC" w:rsidP="00CE63FC">
      <w:pPr>
        <w:spacing w:line="259" w:lineRule="auto"/>
        <w:jc w:val="both"/>
        <w:rPr>
          <w:rFonts w:eastAsiaTheme="minorHAnsi"/>
        </w:rPr>
      </w:pPr>
    </w:p>
    <w:p w14:paraId="70288750" w14:textId="0C857DF1" w:rsidR="0025779C" w:rsidRDefault="0025779C" w:rsidP="0025779C">
      <w:pPr>
        <w:spacing w:line="276" w:lineRule="auto"/>
        <w:jc w:val="both"/>
        <w:rPr>
          <w:rFonts w:eastAsiaTheme="minorHAnsi"/>
        </w:rPr>
      </w:pPr>
      <w:r w:rsidRPr="0025779C">
        <w:rPr>
          <w:rFonts w:eastAsiaTheme="minorHAnsi"/>
        </w:rPr>
        <w:t xml:space="preserve">Plan razvoja Virovitičko-podravske županije za razdoblje od 2021. do 2027. godine </w:t>
      </w:r>
      <w:r w:rsidR="007B6404">
        <w:rPr>
          <w:rFonts w:eastAsiaTheme="minorHAnsi"/>
        </w:rPr>
        <w:t xml:space="preserve">(dalje u tekstu: Plan razvoja) </w:t>
      </w:r>
      <w:r w:rsidRPr="0025779C">
        <w:rPr>
          <w:rFonts w:eastAsiaTheme="minorHAnsi"/>
        </w:rPr>
        <w:t>je srednjoročni akt strateškog planiranja koji predstavlja okvir za poticanje razvoja Virovitičko-podravske županije. Plan razvoja Virovitičko-podravske županije utvrđuje strateški okvir razvoja županije temeljem prethodno izrađene analize stanja ključnih područja razvoja te prepoznatih potencijala i potreba u svakom od tih područja. Plan razvoja hijerarhijski je strukturiran te sadrži ključne strateške odrednice poput vizije, razvojnih prioriteta, posebnih ciljeva, mjera i projekata od strateškog značaja.</w:t>
      </w:r>
    </w:p>
    <w:p w14:paraId="70D48DE1" w14:textId="77777777" w:rsidR="0025779C" w:rsidRPr="0025779C" w:rsidRDefault="0025779C" w:rsidP="0025779C">
      <w:pPr>
        <w:spacing w:line="276" w:lineRule="auto"/>
        <w:jc w:val="both"/>
        <w:rPr>
          <w:rFonts w:eastAsiaTheme="minorHAnsi"/>
        </w:rPr>
      </w:pPr>
    </w:p>
    <w:p w14:paraId="135BAD72" w14:textId="38ADD4A3" w:rsidR="0025779C" w:rsidRDefault="0025779C" w:rsidP="0025779C">
      <w:pPr>
        <w:spacing w:line="276" w:lineRule="auto"/>
        <w:jc w:val="both"/>
        <w:rPr>
          <w:rFonts w:eastAsiaTheme="minorHAnsi"/>
        </w:rPr>
      </w:pPr>
      <w:r w:rsidRPr="0025779C">
        <w:rPr>
          <w:rFonts w:eastAsiaTheme="minorHAnsi"/>
        </w:rPr>
        <w:t>Plan razvoja VPŽ kao akt strateškog planiranja niže razine usklađen je s krovnim i hijerarhijski najvišim aktom strateškog planiranja u RH, Nacionalnom razvojnom strategijom Republike Hrvatske do 2030. godine („Narodne novine“ broj 13/21.). Plan razvoja VPŽ usklađen je s NRS 2030 u svim strateškim odrednicama razvoja kroz sva četiri razvojna smjera: (1) Održivo gospodarstvo i društvo; (2) Jačanje otpornosti na krize; (3) Zelena i digitalna tranzicija i (4) Ravnomjeran regionalni razvoj.</w:t>
      </w:r>
    </w:p>
    <w:p w14:paraId="30900EF5" w14:textId="77777777" w:rsidR="007B6404" w:rsidRDefault="007B6404" w:rsidP="0025779C">
      <w:pPr>
        <w:spacing w:line="276" w:lineRule="auto"/>
        <w:jc w:val="both"/>
        <w:rPr>
          <w:rFonts w:eastAsiaTheme="minorHAnsi"/>
        </w:rPr>
      </w:pPr>
    </w:p>
    <w:p w14:paraId="43A68DA9" w14:textId="43563547" w:rsid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 xml:space="preserve">Sukladno članku 48. stavak 1. Zakona o sustavu strateškog planiranja i upravljanja razvojem Republike Hrvatske (NN 123/2017, 151/2022) </w:t>
      </w:r>
      <w:r>
        <w:rPr>
          <w:rFonts w:eastAsiaTheme="minorHAnsi"/>
        </w:rPr>
        <w:t>i</w:t>
      </w:r>
      <w:r w:rsidRPr="007B6404">
        <w:rPr>
          <w:rFonts w:eastAsiaTheme="minorHAnsi"/>
        </w:rPr>
        <w:t xml:space="preserve"> člancima 15., 18. i 19. Pravilnika o provedbi postupka vrednovanja akata strateškog planiranja od nacionalnog značaja i od značaja za jedinice lokalne i područne (regionalne) samouprave (NN 44/2023) te Planu vrednovanja akata strateškog planiranja Virovitičko-podravske županije,</w:t>
      </w:r>
      <w:r>
        <w:rPr>
          <w:rFonts w:eastAsiaTheme="minorHAnsi"/>
        </w:rPr>
        <w:t xml:space="preserve"> Virovitičko-podravska županija pristupila je procesu pokretanja postupka srednjoročnog vrednovanja Plana razvoja donošenjem Odluke o pokretanju postupka srednjoročnog vrednovanja Plana razvoja od 1. listopada 2024. godine.</w:t>
      </w:r>
      <w:r w:rsidRPr="007B6404">
        <w:t xml:space="preserve"> </w:t>
      </w:r>
      <w:r w:rsidRPr="007B6404">
        <w:rPr>
          <w:rFonts w:eastAsiaTheme="minorHAnsi"/>
        </w:rPr>
        <w:t>Srednjoročno vrednovanje je neovisna ocjena i usporedba stupnja ostvarenosti ciljeva, pokazatelja ishoda ili učinaka, relevantnosti i opravdanosti troškova tijekom razdoblja provedbe akata strateškog planiranja.</w:t>
      </w:r>
      <w:r>
        <w:rPr>
          <w:rFonts w:eastAsiaTheme="minorHAnsi"/>
        </w:rPr>
        <w:t xml:space="preserve"> P</w:t>
      </w:r>
      <w:r w:rsidRPr="007B6404">
        <w:rPr>
          <w:rFonts w:eastAsiaTheme="minorHAnsi"/>
        </w:rPr>
        <w:t>rovodi se, u pravilu, sredinom roka važenja akata strateškog planiranja, a zaključci ovog vrednovanja temelj su za izmjenu i dopunu akata strateškog planiranja</w:t>
      </w:r>
      <w:r>
        <w:rPr>
          <w:rFonts w:eastAsiaTheme="minorHAnsi"/>
        </w:rPr>
        <w:t xml:space="preserve"> te kada</w:t>
      </w:r>
      <w:r w:rsidRPr="007B6404">
        <w:rPr>
          <w:rFonts w:eastAsiaTheme="minorHAnsi"/>
        </w:rPr>
        <w:t xml:space="preserve"> podatci dobiveni tijekom praćenja provedbe akta ukažu na značajna odstupanja u odnosu na očekivane rezultate uspješnosti, odnosno kada promjene u javnoj politici, vanjskom ili fiskalnom okruženju imaju značajan utjecaj na opseg, ciljeve i rokove provedbe akata strateškog planiranja.</w:t>
      </w:r>
      <w:r>
        <w:rPr>
          <w:rFonts w:eastAsiaTheme="minorHAnsi"/>
        </w:rPr>
        <w:t xml:space="preserve"> </w:t>
      </w:r>
      <w:r w:rsidRPr="007B6404">
        <w:rPr>
          <w:rFonts w:eastAsiaTheme="minorHAnsi"/>
        </w:rPr>
        <w:t>Srednjoročno vrednovanje utvrđuje čimbenike koji olakšavaju ili otežavaju provedbu akata strateškog planiranja, a donositeljima odluka osigurava podatke za informirano donošenje odluka tijekom djelovanja u cilju poboljšanja uspješnosti provedbe, odnosno izmjena i dopuna akta strateškog planiranja.</w:t>
      </w:r>
    </w:p>
    <w:p w14:paraId="77C2CB3E" w14:textId="77777777" w:rsidR="007B6404" w:rsidRDefault="007B6404" w:rsidP="0025779C">
      <w:pPr>
        <w:spacing w:line="276" w:lineRule="auto"/>
        <w:jc w:val="both"/>
        <w:rPr>
          <w:rFonts w:eastAsiaTheme="minorHAnsi"/>
        </w:rPr>
      </w:pPr>
    </w:p>
    <w:p w14:paraId="12489C5E" w14:textId="266651E9" w:rsidR="007B6404" w:rsidRDefault="007B6404" w:rsidP="0025779C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Postupak vrednovanja akata strateškog planiranja planira se i provodi u skladu s načelima pravovremenosti, razmjernosti, neovisnosti, vjerodostojnosti, partnerstva, korisnosti i transparentnosti.</w:t>
      </w:r>
    </w:p>
    <w:p w14:paraId="0F3BC8AB" w14:textId="77777777" w:rsidR="007B6404" w:rsidRDefault="007B6404" w:rsidP="0025779C">
      <w:pPr>
        <w:spacing w:line="276" w:lineRule="auto"/>
        <w:jc w:val="both"/>
        <w:rPr>
          <w:rFonts w:eastAsiaTheme="minorHAnsi"/>
        </w:rPr>
      </w:pPr>
    </w:p>
    <w:p w14:paraId="2FEB2848" w14:textId="1EDCBAFD" w:rsidR="007B6404" w:rsidRDefault="007B6404" w:rsidP="0025779C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  <w:b/>
          <w:bCs/>
          <w:u w:val="single"/>
        </w:rPr>
        <w:t>Kriteriji vrednovanja</w:t>
      </w:r>
      <w:r w:rsidRPr="007B6404">
        <w:rPr>
          <w:rFonts w:eastAsiaTheme="minorHAnsi"/>
        </w:rPr>
        <w:t xml:space="preserve"> čine okvir koji se primjenjuje kao osnova za donošenje neovisne usporedbe i ocjene tijekom provedbe svakog pojedinog postupka vrednovanja.</w:t>
      </w:r>
    </w:p>
    <w:p w14:paraId="7F7BE08C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Kriteriji vrednovanja su:</w:t>
      </w:r>
    </w:p>
    <w:p w14:paraId="4E6250DF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2CC55826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lastRenderedPageBreak/>
        <w:t>– Relevantnost, kojim se utvrđuje jesu li ciljevi akta strateškog planiranja definirani u skladu s razvojnim potencijalima i potrebama korisnika, postoji li opravdanje za daljnji nastavak provedbe akata strateškog planiranja u odnosu na prvotno utvrđene razvojne potencijale i potrebe korisnika te jesu li ciljevi definirani u skladu sa načelima sustava strateškog planiranja i upravljanja razvojem,</w:t>
      </w:r>
    </w:p>
    <w:p w14:paraId="29D37B2E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3129513A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– Usklađenost (koherentnost), kojim se utvrđuje unutarnja i vanjska usklađenost akata strateškog planiranja. Unutarnja usklađenost odnosi se na doprinos provedbi javnih politika i usklađenost s ostalim aktima strateškog planiranja iz djelokruga javnog tijela. Vanjska usklađenost podrazumijeva usklađenost s ciljevima Nacionalne razvojne strategije, ciljevima akata strateškog planiranja drugih javnih tijela te provedbom javnih politika koje su s njima povezane.</w:t>
      </w:r>
    </w:p>
    <w:p w14:paraId="191DFCC8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2E774EE9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– Učinkovitost, kojom se utvrđuje mogućnost ostvarenja ili postizanja ciljeva, ishoda i učinaka provedbe akata strateškog planiranja te nastanak planiranih promjena u okolini ili stanju korisnika javnih politika, odnosno posljedice provedbe akata strateškog planiranja,</w:t>
      </w:r>
    </w:p>
    <w:p w14:paraId="321B1AB6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54DC7854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– Djelotvornost, kojom se utvrđuje opravdanost izrade i provedbe akata strateškog planiranja u odnosu na ishode i učinke koje provedba akata strateškog planiranja treba postići ili je postigla. Djelotvornost podrazumijeva ostvarivanje utvrđenih ciljeva i provedbu akata strateškog planiranja s minimalnim troškovima, odnosno postizanje najboljih ishoda i učinaka u odnosu na raspoložive resurse,</w:t>
      </w:r>
    </w:p>
    <w:p w14:paraId="290121E8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2B7E90A2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– Učinak, kojim se utvrđuje krajnji utjecaj provedbe akata strateškog planiranja s naglaskom na značajne pozitivne ili negativne, planirane ili neplanirane srednjoročne i dugoročne promjene (u društvu, sustavima ili normama te utjecaj na dobrobit ljudi, ljudska prava, ravnopravnost spolova i okoliš) šireg opsega od onih koji su već obuhvaćeni kriterijem učinkovitosti i</w:t>
      </w:r>
    </w:p>
    <w:p w14:paraId="317F580A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5E0A3795" w14:textId="7D615284" w:rsid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– Održivost, kojim se tijekom provedbe utvrđuje stvarna korist provedbe akata strateškog planiranja te procjenjuje vjerojatnost nastavka trajanja pozitivnih ishoda i učinaka nakon provedbe akata strateškog planiranja. Primjena kriterija uključuje ispitivanje financijskih, ekonomskih, društvenih, ekoloških i institucionalnih kapaciteta potrebnih za održavanje pozitivnih ishoda i učinaka provedbe akata strateškog planiranja.</w:t>
      </w:r>
    </w:p>
    <w:p w14:paraId="4E84A459" w14:textId="77777777" w:rsid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44FB48A6" w14:textId="0AA932DB" w:rsid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>Čelnik tijela nadležnog za izradu ili provedbu akta strateškog planiranja, za potrebe organizacije i koordinacije provedbe svakog pojedinog postupka vrednovanja, osniva Odbor za vrednovanje te imenuje predsjednika, dopredsjednika i članove Odbora za vrednovanje</w:t>
      </w:r>
      <w:r w:rsidRPr="007B6404">
        <w:t xml:space="preserve"> </w:t>
      </w:r>
      <w:r w:rsidRPr="007B6404">
        <w:rPr>
          <w:rFonts w:eastAsiaTheme="minorHAnsi"/>
        </w:rPr>
        <w:t>najkasnije u roku 30 dana od dana pokretanja postupka vrednovanja.</w:t>
      </w:r>
      <w:r w:rsidRPr="007B6404">
        <w:t xml:space="preserve"> </w:t>
      </w:r>
      <w:r w:rsidRPr="007B6404">
        <w:rPr>
          <w:rFonts w:eastAsiaTheme="minorHAnsi"/>
        </w:rPr>
        <w:t>Tijelo nadležno za izradu ili provedbu akta strateškog planiranja, u suradnji s predsjednikom Odbora za vrednovanje, izrađuje poslovnik o radu Odbora za vrednovanje.</w:t>
      </w:r>
    </w:p>
    <w:p w14:paraId="533A3C63" w14:textId="77777777" w:rsid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2F3E7136" w14:textId="7CC22D26" w:rsidR="007B6404" w:rsidRPr="007B6404" w:rsidRDefault="007B6404" w:rsidP="007B6404">
      <w:pPr>
        <w:spacing w:line="276" w:lineRule="auto"/>
        <w:jc w:val="both"/>
        <w:rPr>
          <w:rFonts w:eastAsiaTheme="minorHAnsi"/>
          <w:b/>
          <w:bCs/>
        </w:rPr>
      </w:pPr>
      <w:r w:rsidRPr="007B6404">
        <w:rPr>
          <w:rFonts w:eastAsiaTheme="minorHAnsi"/>
          <w:b/>
          <w:bCs/>
        </w:rPr>
        <w:t>Osnivanje tima za vrednovanje</w:t>
      </w:r>
    </w:p>
    <w:p w14:paraId="271DDC8A" w14:textId="3BCAFF59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  <w:r w:rsidRPr="007B6404">
        <w:rPr>
          <w:rFonts w:eastAsiaTheme="minorHAnsi"/>
        </w:rPr>
        <w:t xml:space="preserve">Čelnik tijela zaduženog za izradu ili provedbu akta strateškog planiranja za potrebe provedbe svakog pojedinog postupka vrednovanja </w:t>
      </w:r>
      <w:r w:rsidRPr="0059655C">
        <w:rPr>
          <w:rFonts w:eastAsiaTheme="minorHAnsi"/>
        </w:rPr>
        <w:t xml:space="preserve">osniva tim za vrednovanje koji mora biti sastavljen od najmanje </w:t>
      </w:r>
      <w:r w:rsidR="0059655C" w:rsidRPr="0059655C">
        <w:rPr>
          <w:rFonts w:eastAsiaTheme="minorHAnsi"/>
        </w:rPr>
        <w:t>tri stručnjaka</w:t>
      </w:r>
      <w:r w:rsidRPr="0059655C">
        <w:rPr>
          <w:rFonts w:eastAsiaTheme="minorHAnsi"/>
        </w:rPr>
        <w:t xml:space="preserve">. </w:t>
      </w:r>
      <w:r w:rsidR="003D3403" w:rsidRPr="0059655C">
        <w:rPr>
          <w:rFonts w:eastAsiaTheme="minorHAnsi"/>
        </w:rPr>
        <w:t>Tim za vrednovanj</w:t>
      </w:r>
      <w:r w:rsidR="003D3403">
        <w:rPr>
          <w:rFonts w:eastAsiaTheme="minorHAnsi"/>
        </w:rPr>
        <w:t>e bit će osnovan kao</w:t>
      </w:r>
      <w:r w:rsidRPr="007B6404">
        <w:rPr>
          <w:rFonts w:eastAsiaTheme="minorHAnsi"/>
        </w:rPr>
        <w:t xml:space="preserve"> mješoviti tim za vrednovanje </w:t>
      </w:r>
      <w:r w:rsidRPr="007B6404">
        <w:rPr>
          <w:rFonts w:eastAsiaTheme="minorHAnsi"/>
        </w:rPr>
        <w:lastRenderedPageBreak/>
        <w:t>sastavljen od unutarnjih i vanjskih stručnjaka</w:t>
      </w:r>
      <w:r w:rsidRPr="0059655C">
        <w:rPr>
          <w:rFonts w:eastAsiaTheme="minorHAnsi"/>
        </w:rPr>
        <w:t>.</w:t>
      </w:r>
      <w:r w:rsidR="006F35CB" w:rsidRPr="0059655C">
        <w:rPr>
          <w:rFonts w:eastAsiaTheme="minorHAnsi"/>
        </w:rPr>
        <w:t xml:space="preserve"> Vanjske stručnjake činit će dva stručnjaka različitih profesija.</w:t>
      </w:r>
    </w:p>
    <w:p w14:paraId="3FA26AAE" w14:textId="77777777" w:rsidR="007B6404" w:rsidRP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1A7097C9" w14:textId="3E71A108" w:rsidR="007B6404" w:rsidRDefault="003D3403" w:rsidP="007B6404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Tim</w:t>
      </w:r>
      <w:r w:rsidR="007B6404" w:rsidRPr="007B6404">
        <w:rPr>
          <w:rFonts w:eastAsiaTheme="minorHAnsi"/>
        </w:rPr>
        <w:t xml:space="preserve"> za vrednovanje osniva </w:t>
      </w:r>
      <w:r>
        <w:rPr>
          <w:rFonts w:eastAsiaTheme="minorHAnsi"/>
        </w:rPr>
        <w:t xml:space="preserve">se </w:t>
      </w:r>
      <w:r w:rsidR="007B6404" w:rsidRPr="007B6404">
        <w:rPr>
          <w:rFonts w:eastAsiaTheme="minorHAnsi"/>
        </w:rPr>
        <w:t xml:space="preserve">najkasnije u roku 60 dana od dana pokretanja postupka vrednovanja, odnosno odmah po provedbi postupka </w:t>
      </w:r>
      <w:r w:rsidR="007B6404" w:rsidRPr="0059655C">
        <w:rPr>
          <w:rFonts w:eastAsiaTheme="minorHAnsi"/>
        </w:rPr>
        <w:t>nabave usluge vanjskih stručnjaka.</w:t>
      </w:r>
    </w:p>
    <w:p w14:paraId="7785CF39" w14:textId="77777777" w:rsidR="007B6404" w:rsidRDefault="007B6404" w:rsidP="007B6404">
      <w:pPr>
        <w:spacing w:line="276" w:lineRule="auto"/>
        <w:jc w:val="both"/>
        <w:rPr>
          <w:rFonts w:eastAsiaTheme="minorHAnsi"/>
        </w:rPr>
      </w:pPr>
    </w:p>
    <w:p w14:paraId="105F47B5" w14:textId="2559576B" w:rsidR="003D3403" w:rsidRPr="003D3403" w:rsidRDefault="003D3403" w:rsidP="007B6404">
      <w:pPr>
        <w:spacing w:line="276" w:lineRule="auto"/>
        <w:jc w:val="both"/>
        <w:rPr>
          <w:rFonts w:eastAsiaTheme="minorHAnsi"/>
          <w:b/>
          <w:bCs/>
        </w:rPr>
      </w:pPr>
      <w:r w:rsidRPr="003D3403">
        <w:rPr>
          <w:rFonts w:eastAsiaTheme="minorHAnsi"/>
          <w:b/>
          <w:bCs/>
        </w:rPr>
        <w:t>Provedba postupka vrednovanja</w:t>
      </w:r>
    </w:p>
    <w:p w14:paraId="7DBAE470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  <w:r w:rsidRPr="003D3403">
        <w:rPr>
          <w:rFonts w:eastAsiaTheme="minorHAnsi"/>
        </w:rPr>
        <w:t>Tim za vrednovanje obavezan je tijekom provedbe postupka vrednovanja, u skladu s rokovima utvrđenim opisom djelovanja, održati najmanje tri izlaganja Odboru za vrednovanje.</w:t>
      </w:r>
    </w:p>
    <w:p w14:paraId="05DA8D29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</w:p>
    <w:p w14:paraId="2C6603BC" w14:textId="350D249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• </w:t>
      </w:r>
      <w:r w:rsidRPr="003D3403">
        <w:rPr>
          <w:rFonts w:eastAsiaTheme="minorHAnsi"/>
        </w:rPr>
        <w:t>Prvo izlaganje mora sadržavati početno izvješće s početnim nalazima, obrazloženjem metodologije prikupljanja i analize podataka, pitanjima za vrednovanje i planom rada tima za vrednovanje</w:t>
      </w:r>
      <w:r w:rsidR="006F35CB">
        <w:rPr>
          <w:rFonts w:eastAsiaTheme="minorHAnsi"/>
        </w:rPr>
        <w:t xml:space="preserve"> – u roku od 30 dana od dana donošenja Odluke o osnivanju tima za vrednovanje</w:t>
      </w:r>
      <w:r w:rsidRPr="003D3403">
        <w:rPr>
          <w:rFonts w:eastAsiaTheme="minorHAnsi"/>
        </w:rPr>
        <w:t>.</w:t>
      </w:r>
      <w:r w:rsidR="00BE2A5F">
        <w:rPr>
          <w:rFonts w:eastAsiaTheme="minorHAnsi"/>
        </w:rPr>
        <w:t xml:space="preserve"> </w:t>
      </w:r>
    </w:p>
    <w:p w14:paraId="60AA12B8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</w:p>
    <w:p w14:paraId="779D0B5C" w14:textId="24AFFF3A" w:rsidR="003D3403" w:rsidRPr="00BE2A5F" w:rsidRDefault="003D3403" w:rsidP="003D3403">
      <w:pPr>
        <w:spacing w:line="276" w:lineRule="auto"/>
        <w:jc w:val="both"/>
        <w:rPr>
          <w:rFonts w:eastAsiaTheme="minorHAnsi"/>
          <w:color w:val="FF0000"/>
        </w:rPr>
      </w:pPr>
      <w:r>
        <w:rPr>
          <w:rFonts w:eastAsiaTheme="minorHAnsi"/>
        </w:rPr>
        <w:t xml:space="preserve">• </w:t>
      </w:r>
      <w:r w:rsidRPr="003D3403">
        <w:rPr>
          <w:rFonts w:eastAsiaTheme="minorHAnsi"/>
        </w:rPr>
        <w:t>Drugo izlaganje mora sadržavati izvješće o napretku u prikupljanju i analizi podataka te privremenim zaključcima provedbe postupka vrednovanja</w:t>
      </w:r>
      <w:r w:rsidR="006F35CB">
        <w:rPr>
          <w:rFonts w:eastAsiaTheme="minorHAnsi"/>
        </w:rPr>
        <w:t xml:space="preserve"> – u roku od 60 dana od dana donošenja Odluke o osnivanju tima za vrednovanje</w:t>
      </w:r>
      <w:r w:rsidRPr="003D3403">
        <w:rPr>
          <w:rFonts w:eastAsiaTheme="minorHAnsi"/>
        </w:rPr>
        <w:t>.</w:t>
      </w:r>
      <w:r w:rsidR="00BE2A5F" w:rsidRPr="00BE2A5F">
        <w:t xml:space="preserve"> </w:t>
      </w:r>
    </w:p>
    <w:p w14:paraId="5EC9C58D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</w:p>
    <w:p w14:paraId="7DAC993F" w14:textId="2812312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• </w:t>
      </w:r>
      <w:r w:rsidRPr="003D3403">
        <w:rPr>
          <w:rFonts w:eastAsiaTheme="minorHAnsi"/>
        </w:rPr>
        <w:t>Treće izlaganje mora sadržavati nacrt izvješća o provedbi postupka vrednovanja, sa zaključcima i preporukama</w:t>
      </w:r>
      <w:r w:rsidR="006F35CB">
        <w:rPr>
          <w:rFonts w:eastAsiaTheme="minorHAnsi"/>
        </w:rPr>
        <w:t xml:space="preserve"> – u roku od 90 dana od dana donošenja Odluke o osnivanju tima za vrednovanje</w:t>
      </w:r>
      <w:r w:rsidRPr="003D3403">
        <w:rPr>
          <w:rFonts w:eastAsiaTheme="minorHAnsi"/>
        </w:rPr>
        <w:t>.</w:t>
      </w:r>
      <w:r w:rsidR="00BE2A5F">
        <w:rPr>
          <w:rFonts w:eastAsiaTheme="minorHAnsi"/>
        </w:rPr>
        <w:t xml:space="preserve"> </w:t>
      </w:r>
    </w:p>
    <w:p w14:paraId="617FFCB9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</w:p>
    <w:p w14:paraId="6BCCAC3D" w14:textId="7325970B" w:rsidR="003D3403" w:rsidRDefault="003D3403" w:rsidP="003D3403">
      <w:pPr>
        <w:spacing w:line="276" w:lineRule="auto"/>
        <w:jc w:val="both"/>
        <w:rPr>
          <w:rFonts w:eastAsiaTheme="minorHAnsi"/>
        </w:rPr>
      </w:pPr>
      <w:r w:rsidRPr="003D3403">
        <w:rPr>
          <w:rFonts w:eastAsiaTheme="minorHAnsi"/>
        </w:rPr>
        <w:t>Odbor za vrednovanje, uz suglasnost svih članova, izvješća usvaja u roku sedam dana od dana zaprimanja.</w:t>
      </w:r>
    </w:p>
    <w:p w14:paraId="6B2F341F" w14:textId="77777777" w:rsidR="003D3403" w:rsidRDefault="003D3403" w:rsidP="003D3403">
      <w:pPr>
        <w:spacing w:line="276" w:lineRule="auto"/>
        <w:jc w:val="both"/>
        <w:rPr>
          <w:rFonts w:eastAsiaTheme="minorHAnsi"/>
        </w:rPr>
      </w:pPr>
    </w:p>
    <w:p w14:paraId="4C945BE9" w14:textId="2F0479D3" w:rsidR="003D3403" w:rsidRPr="003D3403" w:rsidRDefault="003D3403" w:rsidP="003D3403">
      <w:pPr>
        <w:spacing w:line="276" w:lineRule="auto"/>
        <w:jc w:val="both"/>
        <w:rPr>
          <w:rFonts w:eastAsiaTheme="minorHAnsi"/>
          <w:b/>
          <w:bCs/>
        </w:rPr>
      </w:pPr>
      <w:r w:rsidRPr="003D3403">
        <w:rPr>
          <w:rFonts w:eastAsiaTheme="minorHAnsi"/>
          <w:b/>
          <w:bCs/>
        </w:rPr>
        <w:t>IZVJEŠĆE O PROVEDBI VREDNOVANJA AKTA STRATEŠKOG PLANIRANJA</w:t>
      </w:r>
    </w:p>
    <w:p w14:paraId="7296D175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</w:p>
    <w:p w14:paraId="1EEE7136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  <w:r w:rsidRPr="003D3403">
        <w:rPr>
          <w:rFonts w:eastAsiaTheme="minorHAnsi"/>
        </w:rPr>
        <w:t>Izvješće o vrednovanju akta strateškog planiranja, obujma do 35 stranica bez priloga, obavezno sadrži:</w:t>
      </w:r>
    </w:p>
    <w:p w14:paraId="3C79FA43" w14:textId="77777777" w:rsidR="003D3403" w:rsidRPr="003D3403" w:rsidRDefault="003D3403" w:rsidP="003D3403">
      <w:pPr>
        <w:spacing w:line="276" w:lineRule="auto"/>
        <w:jc w:val="both"/>
        <w:rPr>
          <w:rFonts w:eastAsiaTheme="minorHAnsi"/>
        </w:rPr>
      </w:pPr>
    </w:p>
    <w:p w14:paraId="2E82A76B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Početna stranica</w:t>
      </w:r>
    </w:p>
    <w:p w14:paraId="655D8DDC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1181088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logo i naziv tijela koje je provelo postupak vrednovanja</w:t>
      </w:r>
    </w:p>
    <w:p w14:paraId="233F028E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4351D08F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naziv akta strateškog planiranja</w:t>
      </w:r>
    </w:p>
    <w:p w14:paraId="34BAE906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18A5450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vrstu provedenog postupka vrednovanja</w:t>
      </w:r>
    </w:p>
    <w:p w14:paraId="32D13F54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2077512F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mjesec i godinu izrade izvješća</w:t>
      </w:r>
    </w:p>
    <w:p w14:paraId="1C724AFC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67B36BA4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Sadržaj, Pojmovnik, Popis kratica</w:t>
      </w:r>
    </w:p>
    <w:p w14:paraId="69355CB6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3F32AA74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1. Sažetak (izrađuje se kao dokument prikladan za zasebno objavljivanje, obujma do pet stranica)</w:t>
      </w:r>
    </w:p>
    <w:p w14:paraId="15C1F30B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4C95AABD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najvažniji nalazi vrednovanja</w:t>
      </w:r>
    </w:p>
    <w:p w14:paraId="24C3E1EA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9BE8BE7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zaključci</w:t>
      </w:r>
    </w:p>
    <w:p w14:paraId="6E09D1BD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9C0420A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preporuke (tablični prikaz)</w:t>
      </w:r>
    </w:p>
    <w:p w14:paraId="2FB22F35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61C9D939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 xml:space="preserve">– pouke (engl. </w:t>
      </w:r>
      <w:proofErr w:type="spellStart"/>
      <w:r w:rsidRPr="003D3403">
        <w:rPr>
          <w:rFonts w:eastAsiaTheme="minorHAnsi"/>
        </w:rPr>
        <w:t>lessons</w:t>
      </w:r>
      <w:proofErr w:type="spellEnd"/>
      <w:r w:rsidRPr="003D3403">
        <w:rPr>
          <w:rFonts w:eastAsiaTheme="minorHAnsi"/>
        </w:rPr>
        <w:t xml:space="preserve"> </w:t>
      </w:r>
      <w:proofErr w:type="spellStart"/>
      <w:r w:rsidRPr="003D3403">
        <w:rPr>
          <w:rFonts w:eastAsiaTheme="minorHAnsi"/>
        </w:rPr>
        <w:t>learned</w:t>
      </w:r>
      <w:proofErr w:type="spellEnd"/>
      <w:r w:rsidRPr="003D3403">
        <w:rPr>
          <w:rFonts w:eastAsiaTheme="minorHAnsi"/>
        </w:rPr>
        <w:t>).</w:t>
      </w:r>
    </w:p>
    <w:p w14:paraId="179F38CD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252C2D3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2. Uvod</w:t>
      </w:r>
    </w:p>
    <w:p w14:paraId="4C08F4E3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EA7994F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struktura izvješća</w:t>
      </w:r>
    </w:p>
    <w:p w14:paraId="4EB1344E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7F306E8C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kratak opis postupka vrednovanja (sastav tima za vrednovanje, opis posla, obuhvat i svrha postupka vrednovanja).</w:t>
      </w:r>
    </w:p>
    <w:p w14:paraId="000DE561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302558BC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3. Kontekst vrednovanja</w:t>
      </w:r>
    </w:p>
    <w:p w14:paraId="23C9FB5E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16BD08D0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kratak opis stanja u upravnom području provedbe javne politike i povezanosti s aktima strateškog planiranja više ili jednake hijerarhijske razine</w:t>
      </w:r>
    </w:p>
    <w:p w14:paraId="6D07C7DC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E8B3AE1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kratak prikaz zaključaka i preporuka prethodno provedenih postupaka vrednovanja koja su povezana s izradom ili provedbom akta strateškog planiranja (ako je primjenjivo).</w:t>
      </w:r>
    </w:p>
    <w:p w14:paraId="1E5EC29A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345C40E6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4. Opis akta strateškog planiranja</w:t>
      </w:r>
    </w:p>
    <w:p w14:paraId="52327ED0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7637C16F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kratak opis društvenih i gospodarskih potreba i ciljnih skupina (korisnika provedbe javnih politika) na koje je usmjerena provedba akta strateškog planiranja</w:t>
      </w:r>
    </w:p>
    <w:p w14:paraId="5404B14A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312485C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prikaz ključnih dionika uključenih u provedbu akta strateškog planiranja</w:t>
      </w:r>
    </w:p>
    <w:p w14:paraId="7F6EE183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BCE549A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prikaz intervencijske logike, ciljeva i pokazatelja uspješnosti akta strateškog planiranja</w:t>
      </w:r>
    </w:p>
    <w:p w14:paraId="15907516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61E87800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financijski okvir s prikazom financijskih pretpostavki za provedbu akta strateškog planiranja (ako je primjenjivo).</w:t>
      </w:r>
    </w:p>
    <w:p w14:paraId="2E507BE1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60AD4572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5. Metodološki pristup</w:t>
      </w:r>
    </w:p>
    <w:p w14:paraId="724E1707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38D667F9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popis ključnih pojmova, kriterija vrednovanja i pitanja za vrednovanje</w:t>
      </w:r>
    </w:p>
    <w:p w14:paraId="145F7BD3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2E1E0241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kratak opis provedbe postupka vrednovanja, kvantitativnih i kvalitativnih metoda i analitičkih tehnika korištenih tijekom provedbe postupka vrednovanja</w:t>
      </w:r>
    </w:p>
    <w:p w14:paraId="50493EB8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24F80125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informacije o izvorima, pouzdanosti, vrstama i načinu prikupljanja podataka (istraživanja, upitnici, intervjui, veličina i odabir kriterija za uzorke)</w:t>
      </w:r>
    </w:p>
    <w:p w14:paraId="5950BC49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954202E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ograničenja i nedostaci, izazovi i rizici tijekom primjene odabranog metodološkog pristupa</w:t>
      </w:r>
    </w:p>
    <w:p w14:paraId="7B632826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260836C9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6. Nalazi</w:t>
      </w:r>
    </w:p>
    <w:p w14:paraId="242A95F6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10C7C926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statistički podatci, empirijski podatci, dokazi relevantni za odgovore na pitanja za vrednovanje</w:t>
      </w:r>
    </w:p>
    <w:p w14:paraId="5B7C74EB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09E4B77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analiza i interpretacija odgovora pitanja na vrednovanje</w:t>
      </w:r>
    </w:p>
    <w:p w14:paraId="63C1E3E1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20500BCD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lastRenderedPageBreak/>
        <w:t>– nalazi o primjerenosti odabira pokazatelja uspješnosti, podatci o ostvarenim vrijednostima pokazatelja uspješnosti, usporedba planiranih i ostvarenih vrijednosti pokazatelja uspješnosti.</w:t>
      </w:r>
    </w:p>
    <w:p w14:paraId="39E181E1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1B405661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7. Zaključci</w:t>
      </w:r>
    </w:p>
    <w:p w14:paraId="0E3E7F37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EA30865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ocjena stručnjaka o uspješnosti postupka izrade ili provedbe akta strateškog planiranja, u odnosu na primijenjene kriterije vrednovanja</w:t>
      </w:r>
    </w:p>
    <w:p w14:paraId="1F85D300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6BFC6557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zaključci moraju sadržavati osvrt na pokazatelje uspješnosti akta strateškog planiranja, obuhvatiti odgovore na sva pitanja vrednovanja i biti utemeljeni na vrednovanju nalaza i analizi podataka</w:t>
      </w:r>
    </w:p>
    <w:p w14:paraId="4CC8993D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46ABA2E2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zaključci moraju jasno ukazati na područja u kojima je utvrđen prostor za poboljšanje kvalitete sadržaja, upravljanja provedbom akata te daljnjih procesa strateškog planiranja</w:t>
      </w:r>
    </w:p>
    <w:p w14:paraId="41949D41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7D61A8B1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zaključci moraju ukazati na moguće promjene koje predstavljaju logičnu osnovu za izradu preporuka vrednovanja</w:t>
      </w:r>
    </w:p>
    <w:p w14:paraId="26918597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37BEABED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u poglavlju sa zaključcima ne smiju se iznositi nove informacije.</w:t>
      </w:r>
    </w:p>
    <w:p w14:paraId="28D6742C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463383FE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 xml:space="preserve">8. Pouke postupka vrednovanja (engl. </w:t>
      </w:r>
      <w:proofErr w:type="spellStart"/>
      <w:r w:rsidRPr="003D3403">
        <w:rPr>
          <w:rFonts w:eastAsiaTheme="minorHAnsi"/>
        </w:rPr>
        <w:t>lessons</w:t>
      </w:r>
      <w:proofErr w:type="spellEnd"/>
      <w:r w:rsidRPr="003D3403">
        <w:rPr>
          <w:rFonts w:eastAsiaTheme="minorHAnsi"/>
        </w:rPr>
        <w:t xml:space="preserve"> </w:t>
      </w:r>
      <w:proofErr w:type="spellStart"/>
      <w:r w:rsidRPr="003D3403">
        <w:rPr>
          <w:rFonts w:eastAsiaTheme="minorHAnsi"/>
        </w:rPr>
        <w:t>learned</w:t>
      </w:r>
      <w:proofErr w:type="spellEnd"/>
      <w:r w:rsidRPr="003D3403">
        <w:rPr>
          <w:rFonts w:eastAsiaTheme="minorHAnsi"/>
        </w:rPr>
        <w:t>)</w:t>
      </w:r>
    </w:p>
    <w:p w14:paraId="415B701B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6BE88490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opći zaključci koji bi mogli imati potencijal za širu primjenu i uporabu tijekom izrade ili provedbe akata strateškog planiranja, odnosno oblikovanja i provedbe javnih politika.</w:t>
      </w:r>
    </w:p>
    <w:p w14:paraId="52327076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74114B49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9. Preporuke</w:t>
      </w:r>
    </w:p>
    <w:p w14:paraId="5682295A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A794905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preporuke za poboljšanje kvalitete sadržaja, upravljanja provedbom akta te daljnjih procesa strateškog planiranja</w:t>
      </w:r>
    </w:p>
    <w:p w14:paraId="79F33129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1B1E4C4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preporuke moraju biti jasne, provedive i utemeljene na zaključcima postupka vrednovanja</w:t>
      </w:r>
    </w:p>
    <w:p w14:paraId="20A1D1DA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7AFC56D6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preporuke moraju sadržavati preporučene radnje, odgovornosti za provedbu ključnih dionika (tijelo zaduženo za izradu ili provedbu akta strateškog planiranja,</w:t>
      </w:r>
    </w:p>
    <w:p w14:paraId="3D9C3AE4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2D8C0D14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Koordinacijsko tijelo, Vlada itd.) i rokove za provedbu (neposredna provedba, srednjoročna ili dugoročna provedba).</w:t>
      </w:r>
    </w:p>
    <w:p w14:paraId="70DE8058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22EEA622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Prilozi</w:t>
      </w:r>
    </w:p>
    <w:p w14:paraId="38682B10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0F48CDF2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Podatci o članovima tima za vrednovanje</w:t>
      </w:r>
    </w:p>
    <w:p w14:paraId="77117B2D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74AF6B60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 xml:space="preserve">– Opis i </w:t>
      </w:r>
      <w:proofErr w:type="spellStart"/>
      <w:r w:rsidRPr="003D3403">
        <w:rPr>
          <w:rFonts w:eastAsiaTheme="minorHAnsi"/>
        </w:rPr>
        <w:t>vremenik</w:t>
      </w:r>
      <w:proofErr w:type="spellEnd"/>
      <w:r w:rsidRPr="003D3403">
        <w:rPr>
          <w:rFonts w:eastAsiaTheme="minorHAnsi"/>
        </w:rPr>
        <w:t xml:space="preserve"> provedbe postupka vrednovanja</w:t>
      </w:r>
    </w:p>
    <w:p w14:paraId="08B72FCC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76B16A91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Opis korištene metodologije vrednovanja i ograničenja istraživanja</w:t>
      </w:r>
    </w:p>
    <w:p w14:paraId="0F522521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5D671E8E" w14:textId="77777777" w:rsidR="003D3403" w:rsidRPr="003D3403" w:rsidRDefault="003D3403" w:rsidP="003D3403">
      <w:pPr>
        <w:jc w:val="both"/>
        <w:rPr>
          <w:rFonts w:eastAsiaTheme="minorHAnsi"/>
        </w:rPr>
      </w:pPr>
      <w:r w:rsidRPr="003D3403">
        <w:rPr>
          <w:rFonts w:eastAsiaTheme="minorHAnsi"/>
        </w:rPr>
        <w:t>– Popis izvora podataka, dokumenata, upitnika ili drugih instrumenata korištenih tijekom provedbe postupka.</w:t>
      </w:r>
    </w:p>
    <w:p w14:paraId="580C16EF" w14:textId="77777777" w:rsidR="003D3403" w:rsidRPr="003D3403" w:rsidRDefault="003D3403" w:rsidP="003D3403">
      <w:pPr>
        <w:jc w:val="both"/>
        <w:rPr>
          <w:rFonts w:eastAsiaTheme="minorHAnsi"/>
        </w:rPr>
      </w:pPr>
    </w:p>
    <w:p w14:paraId="62D8B77F" w14:textId="77777777" w:rsidR="003D3403" w:rsidRPr="003D3403" w:rsidRDefault="003D3403" w:rsidP="003D3403">
      <w:pPr>
        <w:jc w:val="both"/>
        <w:rPr>
          <w:rFonts w:eastAsiaTheme="minorHAnsi"/>
        </w:rPr>
      </w:pPr>
    </w:p>
    <w:bookmarkEnd w:id="0"/>
    <w:bookmarkEnd w:id="1"/>
    <w:bookmarkEnd w:id="2"/>
    <w:sectPr w:rsidR="003D3403" w:rsidRPr="003D3403" w:rsidSect="00BC52AA">
      <w:footerReference w:type="default" r:id="rId11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36DB" w14:textId="77777777" w:rsidR="00707585" w:rsidRDefault="00707585">
      <w:r>
        <w:separator/>
      </w:r>
    </w:p>
  </w:endnote>
  <w:endnote w:type="continuationSeparator" w:id="0">
    <w:p w14:paraId="7AB4D8BD" w14:textId="77777777" w:rsidR="00707585" w:rsidRDefault="0070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640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6459E" w14:textId="77777777" w:rsidR="00CE63FC" w:rsidRDefault="00CE63F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03">
          <w:rPr>
            <w:noProof/>
          </w:rPr>
          <w:t>1</w:t>
        </w:r>
        <w:r w:rsidR="00F438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0992C4" w14:textId="77777777" w:rsidR="00AE5F07" w:rsidRDefault="00AE5F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240E" w14:textId="77777777" w:rsidR="00707585" w:rsidRDefault="00707585">
      <w:r>
        <w:separator/>
      </w:r>
    </w:p>
  </w:footnote>
  <w:footnote w:type="continuationSeparator" w:id="0">
    <w:p w14:paraId="1A57392B" w14:textId="77777777" w:rsidR="00707585" w:rsidRDefault="0070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114F"/>
    <w:multiLevelType w:val="hybridMultilevel"/>
    <w:tmpl w:val="ABBAB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09B"/>
    <w:multiLevelType w:val="multilevel"/>
    <w:tmpl w:val="38A0E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8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3207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" w15:restartNumberingAfterBreak="0">
    <w:nsid w:val="13D44FB3"/>
    <w:multiLevelType w:val="multilevel"/>
    <w:tmpl w:val="78501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74F9B"/>
    <w:multiLevelType w:val="multilevel"/>
    <w:tmpl w:val="4328E0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C0F13"/>
    <w:multiLevelType w:val="hybridMultilevel"/>
    <w:tmpl w:val="F38E3C08"/>
    <w:lvl w:ilvl="0" w:tplc="28802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5185"/>
    <w:multiLevelType w:val="hybridMultilevel"/>
    <w:tmpl w:val="24E84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338A"/>
    <w:multiLevelType w:val="hybridMultilevel"/>
    <w:tmpl w:val="16DE9DA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" w15:restartNumberingAfterBreak="0">
    <w:nsid w:val="29B11BB2"/>
    <w:multiLevelType w:val="hybridMultilevel"/>
    <w:tmpl w:val="BE6A7520"/>
    <w:lvl w:ilvl="0" w:tplc="FEAE26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12E78"/>
    <w:multiLevelType w:val="multilevel"/>
    <w:tmpl w:val="A9E8B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3AA4166"/>
    <w:multiLevelType w:val="hybridMultilevel"/>
    <w:tmpl w:val="6576B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B5387"/>
    <w:multiLevelType w:val="hybridMultilevel"/>
    <w:tmpl w:val="3B6E4A6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7A2D94A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745F33"/>
    <w:multiLevelType w:val="hybridMultilevel"/>
    <w:tmpl w:val="62E437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D3539"/>
    <w:multiLevelType w:val="hybridMultilevel"/>
    <w:tmpl w:val="058C1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3F81"/>
    <w:multiLevelType w:val="hybridMultilevel"/>
    <w:tmpl w:val="A21A4308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443C62"/>
    <w:multiLevelType w:val="hybridMultilevel"/>
    <w:tmpl w:val="B03C8A54"/>
    <w:lvl w:ilvl="0" w:tplc="BE8C7E02">
      <w:start w:val="1"/>
      <w:numFmt w:val="decimal"/>
      <w:lvlText w:val="%1."/>
      <w:lvlJc w:val="left"/>
      <w:pPr>
        <w:ind w:left="1410" w:hanging="62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61307B"/>
    <w:multiLevelType w:val="hybridMultilevel"/>
    <w:tmpl w:val="19240218"/>
    <w:lvl w:ilvl="0" w:tplc="D6DE8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72E9B"/>
    <w:multiLevelType w:val="hybridMultilevel"/>
    <w:tmpl w:val="B88A0174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A430EBF"/>
    <w:multiLevelType w:val="hybridMultilevel"/>
    <w:tmpl w:val="A7806700"/>
    <w:lvl w:ilvl="0" w:tplc="FC9213F4">
      <w:start w:val="1"/>
      <w:numFmt w:val="bullet"/>
      <w:pStyle w:val="DLis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D7D89"/>
    <w:multiLevelType w:val="hybridMultilevel"/>
    <w:tmpl w:val="53BEF436"/>
    <w:lvl w:ilvl="0" w:tplc="89BA1F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248C3"/>
    <w:multiLevelType w:val="hybridMultilevel"/>
    <w:tmpl w:val="4622E3C0"/>
    <w:lvl w:ilvl="0" w:tplc="DD94F71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CC2124A"/>
    <w:multiLevelType w:val="multilevel"/>
    <w:tmpl w:val="AC581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157C23"/>
    <w:multiLevelType w:val="hybridMultilevel"/>
    <w:tmpl w:val="9FA856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288023FA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0B4DD5"/>
    <w:multiLevelType w:val="multilevel"/>
    <w:tmpl w:val="82CADF72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302" w:hanging="108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382" w:hanging="1440"/>
      </w:pPr>
    </w:lvl>
    <w:lvl w:ilvl="6">
      <w:start w:val="1"/>
      <w:numFmt w:val="decimal"/>
      <w:lvlText w:val="%1.%2.%3.%4.%5.%6.%7."/>
      <w:lvlJc w:val="left"/>
      <w:pPr>
        <w:ind w:left="3742" w:hanging="1440"/>
      </w:pPr>
    </w:lvl>
    <w:lvl w:ilvl="7">
      <w:start w:val="1"/>
      <w:numFmt w:val="decimal"/>
      <w:lvlText w:val="%1.%2.%3.%4.%5.%6.%7.%8."/>
      <w:lvlJc w:val="left"/>
      <w:pPr>
        <w:ind w:left="4462" w:hanging="1800"/>
      </w:pPr>
    </w:lvl>
    <w:lvl w:ilvl="8">
      <w:start w:val="1"/>
      <w:numFmt w:val="decimal"/>
      <w:lvlText w:val="%1.%2.%3.%4.%5.%6.%7.%8.%9."/>
      <w:lvlJc w:val="left"/>
      <w:pPr>
        <w:ind w:left="4822" w:hanging="1800"/>
      </w:pPr>
    </w:lvl>
  </w:abstractNum>
  <w:abstractNum w:abstractNumId="24" w15:restartNumberingAfterBreak="0">
    <w:nsid w:val="75A57B10"/>
    <w:multiLevelType w:val="multilevel"/>
    <w:tmpl w:val="6652C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5147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6670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286466">
    <w:abstractNumId w:val="14"/>
  </w:num>
  <w:num w:numId="4" w16cid:durableId="70666802">
    <w:abstractNumId w:val="10"/>
  </w:num>
  <w:num w:numId="5" w16cid:durableId="96408369">
    <w:abstractNumId w:val="9"/>
  </w:num>
  <w:num w:numId="6" w16cid:durableId="296567579">
    <w:abstractNumId w:val="19"/>
  </w:num>
  <w:num w:numId="7" w16cid:durableId="224294485">
    <w:abstractNumId w:val="2"/>
  </w:num>
  <w:num w:numId="8" w16cid:durableId="1046174164">
    <w:abstractNumId w:val="21"/>
  </w:num>
  <w:num w:numId="9" w16cid:durableId="1402212465">
    <w:abstractNumId w:val="3"/>
  </w:num>
  <w:num w:numId="10" w16cid:durableId="608123085">
    <w:abstractNumId w:val="6"/>
  </w:num>
  <w:num w:numId="11" w16cid:durableId="1994068964">
    <w:abstractNumId w:val="20"/>
  </w:num>
  <w:num w:numId="12" w16cid:durableId="1331062255">
    <w:abstractNumId w:val="8"/>
  </w:num>
  <w:num w:numId="13" w16cid:durableId="1988122270">
    <w:abstractNumId w:val="18"/>
  </w:num>
  <w:num w:numId="14" w16cid:durableId="1959527340">
    <w:abstractNumId w:val="16"/>
  </w:num>
  <w:num w:numId="15" w16cid:durableId="184097137">
    <w:abstractNumId w:val="11"/>
  </w:num>
  <w:num w:numId="16" w16cid:durableId="1735421889">
    <w:abstractNumId w:val="7"/>
  </w:num>
  <w:num w:numId="17" w16cid:durableId="1056470475">
    <w:abstractNumId w:val="4"/>
  </w:num>
  <w:num w:numId="18" w16cid:durableId="1098478575">
    <w:abstractNumId w:val="22"/>
  </w:num>
  <w:num w:numId="19" w16cid:durableId="456726933">
    <w:abstractNumId w:val="17"/>
  </w:num>
  <w:num w:numId="20" w16cid:durableId="719473825">
    <w:abstractNumId w:val="5"/>
  </w:num>
  <w:num w:numId="21" w16cid:durableId="1350831918">
    <w:abstractNumId w:val="13"/>
  </w:num>
  <w:num w:numId="22" w16cid:durableId="1072776032">
    <w:abstractNumId w:val="0"/>
  </w:num>
  <w:num w:numId="23" w16cid:durableId="1560242413">
    <w:abstractNumId w:val="15"/>
  </w:num>
  <w:num w:numId="24" w16cid:durableId="1752700567">
    <w:abstractNumId w:val="24"/>
  </w:num>
  <w:num w:numId="25" w16cid:durableId="171399531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56"/>
    <w:rsid w:val="00073720"/>
    <w:rsid w:val="002144A2"/>
    <w:rsid w:val="0025779C"/>
    <w:rsid w:val="00296F1A"/>
    <w:rsid w:val="002B03A1"/>
    <w:rsid w:val="002C004E"/>
    <w:rsid w:val="002D4A3C"/>
    <w:rsid w:val="00367CD5"/>
    <w:rsid w:val="00397697"/>
    <w:rsid w:val="003D3403"/>
    <w:rsid w:val="003E1FE9"/>
    <w:rsid w:val="00493A4C"/>
    <w:rsid w:val="004E45A5"/>
    <w:rsid w:val="00523469"/>
    <w:rsid w:val="00541699"/>
    <w:rsid w:val="005811E2"/>
    <w:rsid w:val="005877CE"/>
    <w:rsid w:val="0059655C"/>
    <w:rsid w:val="005C4F73"/>
    <w:rsid w:val="00605F61"/>
    <w:rsid w:val="00611C90"/>
    <w:rsid w:val="0061231C"/>
    <w:rsid w:val="0066162E"/>
    <w:rsid w:val="006F35CB"/>
    <w:rsid w:val="00707585"/>
    <w:rsid w:val="00745FB6"/>
    <w:rsid w:val="007B6404"/>
    <w:rsid w:val="007C7ACA"/>
    <w:rsid w:val="007D044E"/>
    <w:rsid w:val="007D76F2"/>
    <w:rsid w:val="008A6DCF"/>
    <w:rsid w:val="009549E9"/>
    <w:rsid w:val="00986D43"/>
    <w:rsid w:val="009B62E9"/>
    <w:rsid w:val="009E5740"/>
    <w:rsid w:val="00A07C92"/>
    <w:rsid w:val="00A40C88"/>
    <w:rsid w:val="00A47218"/>
    <w:rsid w:val="00AE5F07"/>
    <w:rsid w:val="00B27561"/>
    <w:rsid w:val="00B74687"/>
    <w:rsid w:val="00BD14B1"/>
    <w:rsid w:val="00BE2A5F"/>
    <w:rsid w:val="00BE57CF"/>
    <w:rsid w:val="00C25D56"/>
    <w:rsid w:val="00CE63FC"/>
    <w:rsid w:val="00D73F18"/>
    <w:rsid w:val="00DD0C5F"/>
    <w:rsid w:val="00E204B5"/>
    <w:rsid w:val="00E65B27"/>
    <w:rsid w:val="00EF338B"/>
    <w:rsid w:val="00F26D66"/>
    <w:rsid w:val="00F43803"/>
    <w:rsid w:val="00F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CB98F"/>
  <w15:docId w15:val="{174F79BB-B2AF-47C8-94E1-BD5B338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5811E2"/>
    <w:pPr>
      <w:keepNext/>
      <w:keepLines/>
      <w:spacing w:before="240"/>
      <w:ind w:left="432" w:hanging="432"/>
      <w:outlineLvl w:val="0"/>
    </w:pPr>
    <w:rPr>
      <w:rFonts w:ascii="Cambria" w:hAnsi="Cambria"/>
      <w:color w:val="365F91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811E2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811E2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811E2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5811E2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5811E2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5811E2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3D281B"/>
    <w:rPr>
      <w:rFonts w:ascii="Tahoma" w:hAnsi="Tahoma" w:cs="Tahoma"/>
      <w:sz w:val="16"/>
      <w:szCs w:val="16"/>
    </w:rPr>
  </w:style>
  <w:style w:type="paragraph" w:styleId="Zaglavlje">
    <w:name w:val="header"/>
    <w:aliases w:val="Header1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"/>
    <w:link w:val="Zaglavlje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aliases w:val="IN2 List Paragraph,Paragraph,Paragraphe de liste PBLH,Graph &amp; Table tite,Normal bullet 2,Bullet list,Figure_name,Equipment,Numbered Indented Text,lp1,List Paragraph11,List Paragraph Char Char Char,List Paragraph Char Char,Citation List"/>
    <w:basedOn w:val="Normal"/>
    <w:link w:val="OdlomakpopisaChar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character" w:customStyle="1" w:styleId="Naslov1Char">
    <w:name w:val="Naslov 1 Char"/>
    <w:basedOn w:val="Zadanifontodlomka"/>
    <w:link w:val="Naslov1"/>
    <w:rsid w:val="005811E2"/>
    <w:rPr>
      <w:rFonts w:ascii="Cambria" w:hAnsi="Cambria"/>
      <w:color w:val="365F91"/>
      <w:sz w:val="32"/>
      <w:szCs w:val="32"/>
      <w:lang w:eastAsia="en-US"/>
    </w:rPr>
  </w:style>
  <w:style w:type="character" w:customStyle="1" w:styleId="Naslov4Char">
    <w:name w:val="Naslov 4 Char"/>
    <w:basedOn w:val="Zadanifontodlomka"/>
    <w:link w:val="Naslov4"/>
    <w:semiHidden/>
    <w:rsid w:val="005811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semiHidden/>
    <w:rsid w:val="005811E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semiHidden/>
    <w:rsid w:val="005811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semiHidden/>
    <w:rsid w:val="005811E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semiHidden/>
    <w:rsid w:val="005811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Char">
    <w:name w:val="Naslov 9 Char"/>
    <w:basedOn w:val="Zadanifontodlomka"/>
    <w:link w:val="Naslov9"/>
    <w:semiHidden/>
    <w:rsid w:val="005811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aslov2Char">
    <w:name w:val="Naslov 2 Char"/>
    <w:basedOn w:val="Zadanifontodlomka"/>
    <w:link w:val="Naslov2"/>
    <w:rsid w:val="005811E2"/>
    <w:rPr>
      <w:b/>
      <w:i/>
      <w:snapToGrid w:val="0"/>
      <w:sz w:val="24"/>
      <w:szCs w:val="24"/>
      <w:lang w:eastAsia="en-US"/>
    </w:rPr>
  </w:style>
  <w:style w:type="character" w:customStyle="1" w:styleId="TekstbaloniaChar">
    <w:name w:val="Tekst balončića Char"/>
    <w:basedOn w:val="Zadanifontodlomka"/>
    <w:link w:val="Tekstbalonia"/>
    <w:rsid w:val="005811E2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39"/>
    <w:rsid w:val="0058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5811E2"/>
    <w:rPr>
      <w:color w:val="0000FF"/>
      <w:u w:val="single"/>
    </w:rPr>
  </w:style>
  <w:style w:type="character" w:customStyle="1" w:styleId="HeaderChar1">
    <w:name w:val="Header Char1"/>
    <w:basedOn w:val="Zadanifontodlomka"/>
    <w:uiPriority w:val="99"/>
    <w:rsid w:val="005811E2"/>
    <w:rPr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5811E2"/>
    <w:pPr>
      <w:jc w:val="both"/>
    </w:pPr>
    <w:rPr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5811E2"/>
    <w:rPr>
      <w:sz w:val="22"/>
      <w:lang w:eastAsia="en-US"/>
    </w:rPr>
  </w:style>
  <w:style w:type="paragraph" w:styleId="Bezproreda">
    <w:name w:val="No Spacing"/>
    <w:link w:val="BezproredaChar"/>
    <w:uiPriority w:val="1"/>
    <w:qFormat/>
    <w:rsid w:val="005811E2"/>
    <w:rPr>
      <w:rFonts w:ascii="Calibri" w:eastAsia="Calibri" w:hAnsi="Calibri"/>
      <w:sz w:val="22"/>
      <w:szCs w:val="22"/>
      <w:lang w:eastAsia="en-US"/>
    </w:rPr>
  </w:style>
  <w:style w:type="character" w:customStyle="1" w:styleId="OdlomakpopisaChar">
    <w:name w:val="Odlomak popisa Char"/>
    <w:aliases w:val="IN2 List Paragraph Char,Paragraph Char,Paragraphe de liste PBLH Char,Graph &amp; Table tite Char,Normal bullet 2 Char,Bullet list Char,Figure_name Char,Equipment Char,Numbered Indented Text Char,lp1 Char,List Paragraph11 Char"/>
    <w:link w:val="Odlomakpopisa"/>
    <w:uiPriority w:val="34"/>
    <w:qFormat/>
    <w:locked/>
    <w:rsid w:val="005811E2"/>
    <w:rPr>
      <w:sz w:val="24"/>
      <w:szCs w:val="24"/>
      <w:lang w:eastAsia="en-US"/>
    </w:rPr>
  </w:style>
  <w:style w:type="paragraph" w:customStyle="1" w:styleId="Tekst">
    <w:name w:val="Tekst"/>
    <w:basedOn w:val="Normal"/>
    <w:rsid w:val="005811E2"/>
    <w:pPr>
      <w:spacing w:after="120"/>
      <w:jc w:val="both"/>
    </w:pPr>
    <w:rPr>
      <w:sz w:val="22"/>
      <w:szCs w:val="20"/>
    </w:rPr>
  </w:style>
  <w:style w:type="paragraph" w:customStyle="1" w:styleId="Default">
    <w:name w:val="Default"/>
    <w:rsid w:val="005811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uiPriority w:val="99"/>
    <w:unhideWhenUsed/>
    <w:rsid w:val="005811E2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811E2"/>
    <w:rPr>
      <w:rFonts w:ascii="Calibri" w:eastAsia="Calibri" w:hAnsi="Calibri"/>
      <w:lang w:eastAsia="en-US"/>
    </w:rPr>
  </w:style>
  <w:style w:type="character" w:styleId="Referencafusnote">
    <w:name w:val="footnote reference"/>
    <w:uiPriority w:val="99"/>
    <w:unhideWhenUsed/>
    <w:rsid w:val="005811E2"/>
    <w:rPr>
      <w:vertAlign w:val="superscript"/>
    </w:rPr>
  </w:style>
  <w:style w:type="table" w:customStyle="1" w:styleId="TableGrid2">
    <w:name w:val="Table Grid2"/>
    <w:basedOn w:val="Obinatablica"/>
    <w:next w:val="Reetkatablice"/>
    <w:rsid w:val="005811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rsid w:val="005811E2"/>
    <w:rPr>
      <w:sz w:val="16"/>
      <w:szCs w:val="16"/>
    </w:rPr>
  </w:style>
  <w:style w:type="paragraph" w:styleId="Tekstkomentara">
    <w:name w:val="annotation text"/>
    <w:aliases w:val=" Char Char"/>
    <w:basedOn w:val="Normal"/>
    <w:link w:val="TekstkomentaraChar"/>
    <w:uiPriority w:val="99"/>
    <w:qFormat/>
    <w:rsid w:val="005811E2"/>
    <w:rPr>
      <w:sz w:val="20"/>
      <w:szCs w:val="20"/>
      <w:lang w:eastAsia="hr-HR"/>
    </w:rPr>
  </w:style>
  <w:style w:type="character" w:customStyle="1" w:styleId="TekstkomentaraChar">
    <w:name w:val="Tekst komentara Char"/>
    <w:aliases w:val=" Char Char Char"/>
    <w:basedOn w:val="Zadanifontodlomka"/>
    <w:link w:val="Tekstkomentara"/>
    <w:uiPriority w:val="99"/>
    <w:qFormat/>
    <w:rsid w:val="005811E2"/>
  </w:style>
  <w:style w:type="paragraph" w:styleId="Predmetkomentara">
    <w:name w:val="annotation subject"/>
    <w:basedOn w:val="Tekstkomentara"/>
    <w:next w:val="Tekstkomentara"/>
    <w:link w:val="PredmetkomentaraChar"/>
    <w:rsid w:val="005811E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811E2"/>
    <w:rPr>
      <w:b/>
      <w:bCs/>
    </w:rPr>
  </w:style>
  <w:style w:type="character" w:customStyle="1" w:styleId="BezproredaChar">
    <w:name w:val="Bez proreda Char"/>
    <w:link w:val="Bezproreda"/>
    <w:uiPriority w:val="1"/>
    <w:rsid w:val="005811E2"/>
    <w:rPr>
      <w:rFonts w:ascii="Calibri" w:eastAsia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811E2"/>
    <w:rPr>
      <w:sz w:val="24"/>
      <w:szCs w:val="24"/>
    </w:rPr>
  </w:style>
  <w:style w:type="paragraph" w:customStyle="1" w:styleId="DList">
    <w:name w:val="DList"/>
    <w:basedOn w:val="Odlomakpopisa"/>
    <w:link w:val="DListChar"/>
    <w:qFormat/>
    <w:rsid w:val="005811E2"/>
    <w:pPr>
      <w:numPr>
        <w:numId w:val="13"/>
      </w:numPr>
      <w:spacing w:after="200" w:line="252" w:lineRule="auto"/>
    </w:pPr>
    <w:rPr>
      <w:rFonts w:ascii="Arial Narrow" w:eastAsiaTheme="majorEastAsia" w:hAnsi="Arial Narrow" w:cstheme="majorBidi"/>
      <w:szCs w:val="22"/>
    </w:rPr>
  </w:style>
  <w:style w:type="character" w:customStyle="1" w:styleId="DListChar">
    <w:name w:val="DList Char"/>
    <w:basedOn w:val="Zadanifontodlomka"/>
    <w:link w:val="DList"/>
    <w:rsid w:val="005811E2"/>
    <w:rPr>
      <w:rFonts w:ascii="Arial Narrow" w:eastAsiaTheme="majorEastAsia" w:hAnsi="Arial Narrow" w:cstheme="majorBidi"/>
      <w:sz w:val="24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5811E2"/>
    <w:pPr>
      <w:spacing w:before="100" w:beforeAutospacing="1" w:after="100" w:afterAutospacing="1"/>
    </w:pPr>
    <w:rPr>
      <w:lang w:eastAsia="hr-HR"/>
    </w:rPr>
  </w:style>
  <w:style w:type="paragraph" w:customStyle="1" w:styleId="Naslov11">
    <w:name w:val="Naslov 11"/>
    <w:basedOn w:val="Normal"/>
    <w:qFormat/>
    <w:rsid w:val="005811E2"/>
    <w:pPr>
      <w:numPr>
        <w:numId w:val="16"/>
      </w:numPr>
      <w:autoSpaceDE w:val="0"/>
      <w:autoSpaceDN w:val="0"/>
      <w:adjustRightInd w:val="0"/>
    </w:pPr>
    <w:rPr>
      <w:rFonts w:ascii="Arial" w:hAnsi="Arial" w:cs="Helvetica-BoldOblique"/>
      <w:b/>
      <w:szCs w:val="22"/>
      <w:lang w:eastAsia="hr-HR"/>
    </w:rPr>
  </w:style>
  <w:style w:type="table" w:styleId="Svijetlatablicareetke1">
    <w:name w:val="Grid Table 1 Light"/>
    <w:basedOn w:val="Obinatablica"/>
    <w:rsid w:val="005811E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Obinatablica"/>
    <w:next w:val="Reetkatablice"/>
    <w:uiPriority w:val="39"/>
    <w:rsid w:val="00CE63F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22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884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iban\Desktop\MINT_predlozak_zaglavlje_2019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E906A20893246851FD464476F3B5C" ma:contentTypeVersion="0" ma:contentTypeDescription="Create a new document." ma:contentTypeScope="" ma:versionID="b513d701ddf1f38770aef6816a3cb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6B7FE-9EA5-4614-B359-E2F7EDE2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7F7AD-DEEA-4427-B8B9-63601988B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7D104-0041-4286-8974-7A414C20D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MINT_predlozak_zaglavlje_2019 (1)</Template>
  <TotalTime>0</TotalTime>
  <Pages>5</Pages>
  <Words>1492</Words>
  <Characters>10239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Ciban</dc:creator>
  <cp:lastModifiedBy>Stjepan Batorek</cp:lastModifiedBy>
  <cp:revision>3</cp:revision>
  <cp:lastPrinted>2021-12-13T08:17:00Z</cp:lastPrinted>
  <dcterms:created xsi:type="dcterms:W3CDTF">2024-11-06T12:58:00Z</dcterms:created>
  <dcterms:modified xsi:type="dcterms:W3CDTF">2024-11-06T13:20:00Z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0x010100E8EE906A20893246851FD464476F3B5C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fe1c53b4-ef88-476c-9311-34b9b8ebfe3f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